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AA591" w14:textId="7EF75FBD" w:rsidR="007B6213" w:rsidRPr="008D02D0" w:rsidRDefault="00EE6AB7" w:rsidP="004139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6AB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Weed and Cover Crop Management in Drought Years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– Lessons From 2023</w:t>
      </w:r>
    </w:p>
    <w:p w14:paraId="177B3522" w14:textId="77777777" w:rsidR="001F6B75" w:rsidRDefault="001F6B75" w:rsidP="001F6B75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</w:p>
    <w:p w14:paraId="08605323" w14:textId="77777777" w:rsidR="001F6B75" w:rsidRDefault="001F6B75" w:rsidP="001F6B75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</w:p>
    <w:p w14:paraId="21B939CE" w14:textId="77777777" w:rsidR="001F6B75" w:rsidRDefault="001F6B75" w:rsidP="001F6B75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F6B75">
        <w:rPr>
          <w:rFonts w:ascii="Arial" w:hAnsi="Arial" w:cs="Arial"/>
          <w:sz w:val="24"/>
          <w:szCs w:val="24"/>
        </w:rPr>
        <w:t xml:space="preserve">True or False: A properly managed cereal rye cover crop can provide effective suppression of small-seeded weed species such as </w:t>
      </w:r>
      <w:proofErr w:type="spellStart"/>
      <w:r w:rsidRPr="001F6B75">
        <w:rPr>
          <w:rFonts w:ascii="Arial" w:hAnsi="Arial" w:cs="Arial"/>
          <w:sz w:val="24"/>
          <w:szCs w:val="24"/>
        </w:rPr>
        <w:t>waterhemp</w:t>
      </w:r>
      <w:proofErr w:type="spellEnd"/>
      <w:r w:rsidRPr="001F6B75">
        <w:rPr>
          <w:rFonts w:ascii="Arial" w:hAnsi="Arial" w:cs="Arial"/>
          <w:sz w:val="24"/>
          <w:szCs w:val="24"/>
        </w:rPr>
        <w:t xml:space="preserve"> in soybean. </w:t>
      </w:r>
    </w:p>
    <w:p w14:paraId="39891E63" w14:textId="77777777" w:rsidR="001F6B75" w:rsidRDefault="001F6B75" w:rsidP="001F6B75">
      <w:pPr>
        <w:pStyle w:val="ListParagraph"/>
        <w:numPr>
          <w:ilvl w:val="1"/>
          <w:numId w:val="13"/>
        </w:numPr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F6B75">
        <w:rPr>
          <w:rFonts w:ascii="Arial" w:hAnsi="Arial" w:cs="Arial"/>
          <w:sz w:val="24"/>
          <w:szCs w:val="24"/>
        </w:rPr>
        <w:t>True</w:t>
      </w:r>
    </w:p>
    <w:p w14:paraId="1B367D94" w14:textId="46E0CF9A" w:rsidR="001F6B75" w:rsidRPr="001F6B75" w:rsidRDefault="001F6B75" w:rsidP="001F6B75">
      <w:pPr>
        <w:pStyle w:val="ListParagraph"/>
        <w:numPr>
          <w:ilvl w:val="1"/>
          <w:numId w:val="13"/>
        </w:numPr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F6B75">
        <w:rPr>
          <w:rFonts w:ascii="Arial" w:hAnsi="Arial" w:cs="Arial"/>
          <w:sz w:val="24"/>
          <w:szCs w:val="24"/>
        </w:rPr>
        <w:t>False</w:t>
      </w:r>
    </w:p>
    <w:p w14:paraId="00C5AC5A" w14:textId="77777777" w:rsidR="001F6B75" w:rsidRPr="001F6B75" w:rsidRDefault="001F6B75" w:rsidP="001F6B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71B277" w14:textId="7BACE8DD" w:rsidR="001F6B75" w:rsidRPr="001F6B75" w:rsidRDefault="001F6B75" w:rsidP="001F6B75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F6B75">
        <w:rPr>
          <w:rFonts w:ascii="Arial" w:hAnsi="Arial" w:cs="Arial"/>
          <w:sz w:val="24"/>
          <w:szCs w:val="24"/>
        </w:rPr>
        <w:t>Which herbicide has higher solubility thus requiring less water for activation?</w:t>
      </w:r>
    </w:p>
    <w:p w14:paraId="36D85ACB" w14:textId="77777777" w:rsidR="001F6B75" w:rsidRPr="001F6B75" w:rsidRDefault="001F6B75" w:rsidP="001F6B7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F6B75">
        <w:rPr>
          <w:rFonts w:ascii="Arial" w:hAnsi="Arial" w:cs="Arial"/>
          <w:sz w:val="24"/>
          <w:szCs w:val="24"/>
        </w:rPr>
        <w:t>Pyroxasulfone</w:t>
      </w:r>
      <w:proofErr w:type="spellEnd"/>
      <w:r w:rsidRPr="001F6B75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1F6B75">
        <w:rPr>
          <w:rFonts w:ascii="Arial" w:hAnsi="Arial" w:cs="Arial"/>
          <w:sz w:val="24"/>
          <w:szCs w:val="24"/>
        </w:rPr>
        <w:t>Zidua</w:t>
      </w:r>
      <w:proofErr w:type="spellEnd"/>
      <w:r w:rsidRPr="001F6B75">
        <w:rPr>
          <w:rFonts w:ascii="Arial" w:hAnsi="Arial" w:cs="Arial"/>
          <w:sz w:val="24"/>
          <w:szCs w:val="24"/>
        </w:rPr>
        <w:t>)</w:t>
      </w:r>
    </w:p>
    <w:p w14:paraId="252001B4" w14:textId="77777777" w:rsidR="001F6B75" w:rsidRPr="001F6B75" w:rsidRDefault="001F6B75" w:rsidP="001F6B7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F6B75">
        <w:rPr>
          <w:rFonts w:ascii="Arial" w:hAnsi="Arial" w:cs="Arial"/>
          <w:sz w:val="24"/>
          <w:szCs w:val="24"/>
        </w:rPr>
        <w:t>Saflufenacil</w:t>
      </w:r>
      <w:proofErr w:type="spellEnd"/>
      <w:r w:rsidRPr="001F6B75">
        <w:rPr>
          <w:rFonts w:ascii="Arial" w:hAnsi="Arial" w:cs="Arial"/>
          <w:sz w:val="24"/>
          <w:szCs w:val="24"/>
        </w:rPr>
        <w:t xml:space="preserve"> (Sharpen) </w:t>
      </w:r>
    </w:p>
    <w:p w14:paraId="57EE15B4" w14:textId="77777777" w:rsidR="001F6B75" w:rsidRPr="001F6B75" w:rsidRDefault="001F6B75" w:rsidP="001F6B7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F6B75">
        <w:rPr>
          <w:rFonts w:ascii="Arial" w:hAnsi="Arial" w:cs="Arial"/>
          <w:sz w:val="24"/>
          <w:szCs w:val="24"/>
        </w:rPr>
        <w:t xml:space="preserve">Dimethenamid-P (Outlook) </w:t>
      </w:r>
    </w:p>
    <w:p w14:paraId="5F1A8CE7" w14:textId="77777777" w:rsidR="001F6B75" w:rsidRPr="001F6B75" w:rsidRDefault="001F6B75" w:rsidP="001F6B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9C5CFA" w14:textId="77777777" w:rsidR="001F6B75" w:rsidRPr="001F6B75" w:rsidRDefault="001F6B75" w:rsidP="001F6B75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F6B75">
        <w:rPr>
          <w:rFonts w:ascii="Arial" w:hAnsi="Arial" w:cs="Arial"/>
          <w:sz w:val="24"/>
          <w:szCs w:val="24"/>
        </w:rPr>
        <w:t>According to research from Illinois (Landau et al 2021), how many inches of rainfall within 15 days from application maximized the probability of successful weed control with most PRE-emergence corn herbicides evaluated in their research?</w:t>
      </w:r>
    </w:p>
    <w:p w14:paraId="41A79B3E" w14:textId="77777777" w:rsidR="001F6B75" w:rsidRPr="001F6B75" w:rsidRDefault="001F6B75" w:rsidP="001F6B7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F6B75">
        <w:rPr>
          <w:rFonts w:ascii="Arial" w:hAnsi="Arial" w:cs="Arial"/>
          <w:sz w:val="24"/>
          <w:szCs w:val="24"/>
        </w:rPr>
        <w:t>0-1 inches</w:t>
      </w:r>
    </w:p>
    <w:p w14:paraId="55FB6ABF" w14:textId="77777777" w:rsidR="001F6B75" w:rsidRPr="001F6B75" w:rsidRDefault="001F6B75" w:rsidP="001F6B7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F6B75">
        <w:rPr>
          <w:rFonts w:ascii="Arial" w:hAnsi="Arial" w:cs="Arial"/>
          <w:sz w:val="24"/>
          <w:szCs w:val="24"/>
        </w:rPr>
        <w:t>0.5-1.5 inches</w:t>
      </w:r>
    </w:p>
    <w:p w14:paraId="293AF755" w14:textId="77777777" w:rsidR="001F6B75" w:rsidRPr="001F6B75" w:rsidRDefault="001F6B75" w:rsidP="001F6B7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F6B75">
        <w:rPr>
          <w:rFonts w:ascii="Arial" w:hAnsi="Arial" w:cs="Arial"/>
          <w:sz w:val="24"/>
          <w:szCs w:val="24"/>
        </w:rPr>
        <w:t>2-4 inches</w:t>
      </w:r>
    </w:p>
    <w:p w14:paraId="6C961D19" w14:textId="77777777" w:rsidR="001F6B75" w:rsidRPr="001F6B75" w:rsidRDefault="001F6B75" w:rsidP="001F6B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E72930" w14:textId="77777777" w:rsidR="001F6B75" w:rsidRPr="001F6B75" w:rsidRDefault="001F6B75" w:rsidP="001F6B75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F6B75">
        <w:rPr>
          <w:rFonts w:ascii="Arial" w:hAnsi="Arial" w:cs="Arial"/>
          <w:sz w:val="24"/>
          <w:szCs w:val="24"/>
        </w:rPr>
        <w:t xml:space="preserve">True </w:t>
      </w:r>
      <w:proofErr w:type="spellStart"/>
      <w:r w:rsidRPr="001F6B75">
        <w:rPr>
          <w:rFonts w:ascii="Arial" w:hAnsi="Arial" w:cs="Arial"/>
          <w:sz w:val="24"/>
          <w:szCs w:val="24"/>
        </w:rPr>
        <w:t>of</w:t>
      </w:r>
      <w:proofErr w:type="spellEnd"/>
      <w:r w:rsidRPr="001F6B75">
        <w:rPr>
          <w:rFonts w:ascii="Arial" w:hAnsi="Arial" w:cs="Arial"/>
          <w:sz w:val="24"/>
          <w:szCs w:val="24"/>
        </w:rPr>
        <w:t xml:space="preserve"> False: PRE-emergence herbicide combination products (multiple active ingredients) reduce the risk of weed control failure in dry years. </w:t>
      </w:r>
    </w:p>
    <w:p w14:paraId="2023FFDD" w14:textId="77777777" w:rsidR="001F6B75" w:rsidRPr="001F6B75" w:rsidRDefault="001F6B75" w:rsidP="001F6B75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F6B75">
        <w:rPr>
          <w:rFonts w:ascii="Arial" w:hAnsi="Arial" w:cs="Arial"/>
          <w:sz w:val="24"/>
          <w:szCs w:val="24"/>
        </w:rPr>
        <w:t>True</w:t>
      </w:r>
    </w:p>
    <w:p w14:paraId="201B8A91" w14:textId="77777777" w:rsidR="001F6B75" w:rsidRPr="001F6B75" w:rsidRDefault="001F6B75" w:rsidP="001F6B75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F6B75">
        <w:rPr>
          <w:rFonts w:ascii="Arial" w:hAnsi="Arial" w:cs="Arial"/>
          <w:sz w:val="24"/>
          <w:szCs w:val="24"/>
        </w:rPr>
        <w:t>False</w:t>
      </w:r>
    </w:p>
    <w:p w14:paraId="171E8F2A" w14:textId="79F45D5B" w:rsidR="001F6B75" w:rsidRPr="001F6B75" w:rsidRDefault="001F6B75" w:rsidP="001F6B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67066B" w14:textId="77777777" w:rsidR="001F6B75" w:rsidRPr="001F6B75" w:rsidRDefault="001F6B75" w:rsidP="001F6B75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F6B75">
        <w:rPr>
          <w:rFonts w:ascii="Arial" w:hAnsi="Arial" w:cs="Arial"/>
          <w:sz w:val="24"/>
          <w:szCs w:val="24"/>
        </w:rPr>
        <w:t xml:space="preserve">Which integrated weed management strategy was not discussed during Werle’s presentation: </w:t>
      </w:r>
    </w:p>
    <w:p w14:paraId="2D6DE747" w14:textId="77777777" w:rsidR="001F6B75" w:rsidRPr="001F6B75" w:rsidRDefault="001F6B75" w:rsidP="001F6B75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F6B75">
        <w:rPr>
          <w:rFonts w:ascii="Arial" w:hAnsi="Arial" w:cs="Arial"/>
          <w:sz w:val="24"/>
          <w:szCs w:val="24"/>
        </w:rPr>
        <w:t>Cover crops</w:t>
      </w:r>
    </w:p>
    <w:p w14:paraId="6C4E4F4E" w14:textId="77777777" w:rsidR="001F6B75" w:rsidRPr="001F6B75" w:rsidRDefault="001F6B75" w:rsidP="001F6B75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F6B75">
        <w:rPr>
          <w:rFonts w:ascii="Arial" w:hAnsi="Arial" w:cs="Arial"/>
          <w:sz w:val="24"/>
          <w:szCs w:val="24"/>
        </w:rPr>
        <w:t>Narrow-row spacing</w:t>
      </w:r>
    </w:p>
    <w:p w14:paraId="13454C3D" w14:textId="77777777" w:rsidR="001F6B75" w:rsidRPr="001F6B75" w:rsidRDefault="001F6B75" w:rsidP="001F6B75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F6B75">
        <w:rPr>
          <w:rFonts w:ascii="Arial" w:hAnsi="Arial" w:cs="Arial"/>
          <w:sz w:val="24"/>
          <w:szCs w:val="24"/>
        </w:rPr>
        <w:t xml:space="preserve">Harvest weed seed control </w:t>
      </w:r>
    </w:p>
    <w:p w14:paraId="52E348F7" w14:textId="77777777" w:rsidR="00BB1F80" w:rsidRPr="00F74DA4" w:rsidRDefault="00BB1F80" w:rsidP="00F74DA4">
      <w:pPr>
        <w:pStyle w:val="ListParagraph"/>
        <w:spacing w:after="0" w:line="240" w:lineRule="auto"/>
        <w:rPr>
          <w:rFonts w:ascii="Calibri" w:hAnsi="Calibri" w:cs="Calibri"/>
        </w:rPr>
      </w:pPr>
    </w:p>
    <w:sectPr w:rsidR="00BB1F80" w:rsidRPr="00F74DA4" w:rsidSect="00BD1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3384"/>
    <w:multiLevelType w:val="hybridMultilevel"/>
    <w:tmpl w:val="4B601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D3739"/>
    <w:multiLevelType w:val="hybridMultilevel"/>
    <w:tmpl w:val="07C8E6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A3E08"/>
    <w:multiLevelType w:val="hybridMultilevel"/>
    <w:tmpl w:val="F13C2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F5FCA"/>
    <w:multiLevelType w:val="hybridMultilevel"/>
    <w:tmpl w:val="0F00F3A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B32CB0"/>
    <w:multiLevelType w:val="hybridMultilevel"/>
    <w:tmpl w:val="78DC33A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643140"/>
    <w:multiLevelType w:val="hybridMultilevel"/>
    <w:tmpl w:val="6E4E04D0"/>
    <w:lvl w:ilvl="0" w:tplc="B43ABFE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35EA1311"/>
    <w:multiLevelType w:val="hybridMultilevel"/>
    <w:tmpl w:val="FBC8EF66"/>
    <w:lvl w:ilvl="0" w:tplc="92DC8D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4E30AD"/>
    <w:multiLevelType w:val="hybridMultilevel"/>
    <w:tmpl w:val="3C34EAD8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3993069A"/>
    <w:multiLevelType w:val="hybridMultilevel"/>
    <w:tmpl w:val="1F569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30A7D"/>
    <w:multiLevelType w:val="hybridMultilevel"/>
    <w:tmpl w:val="08EC902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121727"/>
    <w:multiLevelType w:val="hybridMultilevel"/>
    <w:tmpl w:val="07C8E6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67B5D"/>
    <w:multiLevelType w:val="hybridMultilevel"/>
    <w:tmpl w:val="9B0C8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EE0635"/>
    <w:multiLevelType w:val="hybridMultilevel"/>
    <w:tmpl w:val="A24CC8A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76518556">
    <w:abstractNumId w:val="2"/>
  </w:num>
  <w:num w:numId="2" w16cid:durableId="2436492">
    <w:abstractNumId w:val="8"/>
  </w:num>
  <w:num w:numId="3" w16cid:durableId="885029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5643271">
    <w:abstractNumId w:val="10"/>
  </w:num>
  <w:num w:numId="5" w16cid:durableId="1040515218">
    <w:abstractNumId w:val="1"/>
  </w:num>
  <w:num w:numId="6" w16cid:durableId="751782221">
    <w:abstractNumId w:val="11"/>
  </w:num>
  <w:num w:numId="7" w16cid:durableId="1525554774">
    <w:abstractNumId w:val="7"/>
  </w:num>
  <w:num w:numId="8" w16cid:durableId="1223641144">
    <w:abstractNumId w:val="12"/>
  </w:num>
  <w:num w:numId="9" w16cid:durableId="1326857891">
    <w:abstractNumId w:val="4"/>
  </w:num>
  <w:num w:numId="10" w16cid:durableId="2120028921">
    <w:abstractNumId w:val="9"/>
  </w:num>
  <w:num w:numId="11" w16cid:durableId="2019693352">
    <w:abstractNumId w:val="6"/>
  </w:num>
  <w:num w:numId="12" w16cid:durableId="1985038220">
    <w:abstractNumId w:val="3"/>
  </w:num>
  <w:num w:numId="13" w16cid:durableId="1529567042">
    <w:abstractNumId w:val="5"/>
  </w:num>
  <w:num w:numId="14" w16cid:durableId="2080859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A8"/>
    <w:rsid w:val="0003743F"/>
    <w:rsid w:val="00080255"/>
    <w:rsid w:val="0011721E"/>
    <w:rsid w:val="001F6B75"/>
    <w:rsid w:val="004139A8"/>
    <w:rsid w:val="00601D0E"/>
    <w:rsid w:val="007B6213"/>
    <w:rsid w:val="007D0DDB"/>
    <w:rsid w:val="008D02D0"/>
    <w:rsid w:val="00A50AE3"/>
    <w:rsid w:val="00AC22D8"/>
    <w:rsid w:val="00B222D5"/>
    <w:rsid w:val="00BB1F80"/>
    <w:rsid w:val="00BD1E9F"/>
    <w:rsid w:val="00BD35CD"/>
    <w:rsid w:val="00C65A85"/>
    <w:rsid w:val="00EE6AB7"/>
    <w:rsid w:val="00F7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E8A3C"/>
  <w15:chartTrackingRefBased/>
  <w15:docId w15:val="{64AEC0FE-CA7B-4FB9-8E42-61969474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9A8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9A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39A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39A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39A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39A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39A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39A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39A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39A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9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39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39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39A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39A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9A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9A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9A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39A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139A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39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39A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39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139A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39A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139A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139A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39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39A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139A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Howe</dc:creator>
  <cp:keywords/>
  <dc:description/>
  <cp:lastModifiedBy>Grace Howe</cp:lastModifiedBy>
  <cp:revision>3</cp:revision>
  <dcterms:created xsi:type="dcterms:W3CDTF">2024-01-25T17:18:00Z</dcterms:created>
  <dcterms:modified xsi:type="dcterms:W3CDTF">2024-01-25T17:19:00Z</dcterms:modified>
</cp:coreProperties>
</file>